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BD" w:rsidRDefault="003C5C5B" w:rsidP="008D713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H-Wordmark-Logotype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35" w:rsidRPr="002B713E" w:rsidRDefault="008D7135" w:rsidP="00256CF2">
      <w:pPr>
        <w:spacing w:after="0" w:line="240" w:lineRule="auto"/>
      </w:pPr>
    </w:p>
    <w:p w:rsidR="00B11309" w:rsidRDefault="007355E3" w:rsidP="00256CF2">
      <w:pPr>
        <w:spacing w:after="0" w:line="240" w:lineRule="auto"/>
        <w:jc w:val="center"/>
        <w:rPr>
          <w:rFonts w:ascii="Arial" w:eastAsia="Arial" w:hAnsi="Arial" w:cs="Arial"/>
          <w:b/>
          <w:bCs/>
          <w:kern w:val="24"/>
          <w:sz w:val="40"/>
          <w:szCs w:val="40"/>
        </w:rPr>
      </w:pPr>
      <w:r>
        <w:rPr>
          <w:rFonts w:ascii="Arial" w:eastAsia="Arial" w:hAnsi="Arial" w:cs="Arial"/>
          <w:b/>
          <w:bCs/>
          <w:kern w:val="24"/>
          <w:sz w:val="40"/>
          <w:szCs w:val="40"/>
        </w:rPr>
        <w:t>Prepared Not Scared</w:t>
      </w:r>
    </w:p>
    <w:p w:rsidR="007355E3" w:rsidRDefault="007355E3" w:rsidP="007355E3">
      <w:pPr>
        <w:spacing w:after="0" w:line="240" w:lineRule="auto"/>
        <w:rPr>
          <w:rFonts w:ascii="Arial" w:eastAsia="Arial" w:hAnsi="Arial" w:cs="Arial"/>
          <w:color w:val="000000" w:themeColor="text1"/>
          <w:kern w:val="24"/>
          <w:sz w:val="21"/>
          <w:szCs w:val="21"/>
        </w:rPr>
      </w:pPr>
    </w:p>
    <w:p w:rsidR="007355E3" w:rsidRDefault="007355E3" w:rsidP="007355E3">
      <w:pPr>
        <w:spacing w:after="0" w:line="240" w:lineRule="auto"/>
        <w:rPr>
          <w:rFonts w:ascii="Arial" w:eastAsia="Arial" w:hAnsi="Arial" w:cs="Arial"/>
          <w:color w:val="000000" w:themeColor="text1"/>
          <w:kern w:val="24"/>
          <w:sz w:val="21"/>
          <w:szCs w:val="21"/>
        </w:rPr>
      </w:pPr>
    </w:p>
    <w:p w:rsidR="007355E3" w:rsidRDefault="007355E3" w:rsidP="007355E3">
      <w:pPr>
        <w:spacing w:after="0" w:line="240" w:lineRule="auto"/>
        <w:rPr>
          <w:rFonts w:ascii="Arial" w:eastAsia="Arial" w:hAnsi="Arial" w:cs="Arial"/>
          <w:color w:val="000000" w:themeColor="text1"/>
          <w:kern w:val="24"/>
          <w:sz w:val="21"/>
          <w:szCs w:val="21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Faith Communities are in a unique position to offer support and care in times of crisis and community disaster. We can provide:</w:t>
      </w:r>
      <w:r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 </w:t>
      </w: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24"/>
          <w:szCs w:val="24"/>
        </w:rPr>
        <w:t>Comfort and Hope</w:t>
      </w:r>
    </w:p>
    <w:p w:rsidR="007355E3" w:rsidRDefault="007355E3" w:rsidP="007355E3">
      <w:pPr>
        <w:spacing w:after="0" w:line="240" w:lineRule="auto"/>
        <w:rPr>
          <w:rFonts w:ascii="Arial" w:eastAsia="Arial" w:hAnsi="Arial" w:cs="Arial"/>
          <w:color w:val="000000" w:themeColor="text1"/>
          <w:kern w:val="24"/>
          <w:sz w:val="21"/>
          <w:szCs w:val="21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In a disaster, religious leaders are trusted caregivers to whom </w:t>
      </w:r>
      <w:proofErr w:type="gramStart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the majority of</w:t>
      </w:r>
      <w:proofErr w:type="gramEnd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 Americans turn for assistance and support for healing. You can offer comfort, support, clarity, and direction in times of crisis. You are in a unique position to respond to people who are impacted by a disaster because you are already trusted and in an established leadership role and you bring a faith perspective to the community’s need for meaning after a disaster.</w:t>
      </w: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24"/>
          <w:szCs w:val="24"/>
        </w:rPr>
        <w:t>Prayer/Worship Services/Events</w:t>
      </w:r>
    </w:p>
    <w:p w:rsidR="007355E3" w:rsidRDefault="007355E3" w:rsidP="007355E3">
      <w:pPr>
        <w:spacing w:after="0" w:line="240" w:lineRule="auto"/>
        <w:rPr>
          <w:rFonts w:ascii="Arial" w:eastAsia="Arial" w:hAnsi="Arial" w:cs="Arial"/>
          <w:color w:val="000000" w:themeColor="text1"/>
          <w:kern w:val="24"/>
          <w:sz w:val="21"/>
          <w:szCs w:val="21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The primary disaster role of religious leaders is to help communities find meaning in crisis. Providing opportunities for and leading prayer/worship services provides an essential foundation for community recovery. Work with your partners to offer community-based worship services and other healing events such </w:t>
      </w:r>
      <w:proofErr w:type="gramStart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as  anniversary</w:t>
      </w:r>
      <w:proofErr w:type="gramEnd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 commemorations. Target different audiences: youth, seniors, etc.</w:t>
      </w: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24"/>
          <w:szCs w:val="24"/>
        </w:rPr>
        <w:t>Justice and Healing</w:t>
      </w:r>
    </w:p>
    <w:p w:rsidR="007355E3" w:rsidRPr="007355E3" w:rsidRDefault="007355E3" w:rsidP="007355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In </w:t>
      </w:r>
      <w:proofErr w:type="gramStart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all of</w:t>
      </w:r>
      <w:proofErr w:type="gramEnd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 your interactions, be a voice of reason and a “non-anxious presence.”  Use your connections with politicians and community leaders and your presence in coordinating entities and community councils to:</w:t>
      </w:r>
    </w:p>
    <w:p w:rsidR="007355E3" w:rsidRPr="007355E3" w:rsidRDefault="007355E3" w:rsidP="007355E3">
      <w:pPr>
        <w:numPr>
          <w:ilvl w:val="0"/>
          <w:numId w:val="7"/>
        </w:numPr>
        <w:tabs>
          <w:tab w:val="clear" w:pos="720"/>
        </w:tabs>
        <w:spacing w:after="0" w:line="240" w:lineRule="auto"/>
        <w:contextualSpacing/>
        <w:rPr>
          <w:rFonts w:ascii="Times New Roman" w:eastAsia="Times New Roman" w:hAnsi="Times New Roman"/>
          <w:sz w:val="21"/>
          <w:szCs w:val="24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Provide expertise on </w:t>
      </w:r>
      <w:proofErr w:type="gramStart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particular needs</w:t>
      </w:r>
      <w:proofErr w:type="gramEnd"/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 xml:space="preserve"> of affected populations</w:t>
      </w:r>
    </w:p>
    <w:p w:rsidR="007355E3" w:rsidRPr="007355E3" w:rsidRDefault="007355E3" w:rsidP="007355E3">
      <w:pPr>
        <w:numPr>
          <w:ilvl w:val="0"/>
          <w:numId w:val="7"/>
        </w:numPr>
        <w:tabs>
          <w:tab w:val="clear" w:pos="720"/>
        </w:tabs>
        <w:spacing w:before="100"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Provide religious and cultural guidance on, and assistance in, expediting and implementing best practices, including funeral and burial services</w:t>
      </w:r>
    </w:p>
    <w:p w:rsidR="004154C5" w:rsidRPr="007355E3" w:rsidRDefault="007355E3" w:rsidP="007355E3">
      <w:pPr>
        <w:numPr>
          <w:ilvl w:val="0"/>
          <w:numId w:val="7"/>
        </w:numPr>
        <w:tabs>
          <w:tab w:val="clear" w:pos="720"/>
        </w:tabs>
        <w:spacing w:before="100"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1"/>
          <w:szCs w:val="21"/>
        </w:rPr>
        <w:t>Promote efforts to curtail disaster-related bias crimes.</w:t>
      </w:r>
    </w:p>
    <w:p w:rsidR="00D6287B" w:rsidRDefault="00D6287B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C3186" wp14:editId="1C94868C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72225" cy="430530"/>
                <wp:effectExtent l="0" t="0" r="0" b="0"/>
                <wp:wrapNone/>
                <wp:docPr id="1" name="TextBox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55E3" w:rsidRPr="007355E3" w:rsidRDefault="007355E3" w:rsidP="007355E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355E3">
                              <w:rPr>
                                <w:rFonts w:asciiTheme="minorHAns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Prayer:  </w:t>
                            </w:r>
                            <w:r w:rsidRPr="007355E3">
                              <w:rPr>
                                <w:rFonts w:asci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</w:rPr>
                              <w:t>God who gives us a spirit of courage, may we be your bold hands and feet in times of emergency and community stress.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C3186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0;margin-top:9.3pt;width:501.75pt;height:33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" filled="f" stroked="f">
                <v:textbox style="mso-fit-shape-to-text:t">
                  <w:txbxContent>
                    <w:p w:rsidR="007355E3" w:rsidRPr="007355E3" w:rsidRDefault="007355E3" w:rsidP="007355E3">
                      <w:pPr>
                        <w:rPr>
                          <w:sz w:val="28"/>
                          <w:szCs w:val="24"/>
                        </w:rPr>
                      </w:pPr>
                      <w:r w:rsidRPr="007355E3">
                        <w:rPr>
                          <w:rFonts w:asciiTheme="minorHAns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</w:rPr>
                        <w:t xml:space="preserve">Prayer:  </w:t>
                      </w:r>
                      <w:r w:rsidRPr="007355E3">
                        <w:rPr>
                          <w:rFonts w:asciiTheme="minorHAnsi" w:cstheme="minorBidi"/>
                          <w:i/>
                          <w:iCs/>
                          <w:color w:val="000000" w:themeColor="text1"/>
                          <w:kern w:val="24"/>
                          <w:sz w:val="24"/>
                        </w:rPr>
                        <w:t>God who gives us a spirit of courage, may we be your bold hands and feet in times of emergency and community stress.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D6287B" w:rsidRDefault="00D6287B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6F2488" w:rsidRDefault="006F2488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6F2488" w:rsidRDefault="006F2488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6F2488" w:rsidRDefault="006F2488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6F2488" w:rsidRDefault="006F2488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6F2488" w:rsidRDefault="006F2488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B33124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  <w:r>
        <w:rPr>
          <w:rFonts w:ascii="Arial" w:eastAsia="Arial" w:hAnsi="Arial" w:cs="Arial"/>
          <w:color w:val="000000"/>
          <w:kern w:val="24"/>
          <w:sz w:val="16"/>
          <w:szCs w:val="16"/>
        </w:rPr>
        <w:t>9</w:t>
      </w:r>
      <w:r w:rsidR="00256CF2">
        <w:rPr>
          <w:rFonts w:ascii="Arial" w:eastAsia="Arial" w:hAnsi="Arial" w:cs="Arial"/>
          <w:color w:val="000000"/>
          <w:kern w:val="24"/>
          <w:sz w:val="16"/>
          <w:szCs w:val="16"/>
        </w:rPr>
        <w:t>/2019</w:t>
      </w: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</w:p>
    <w:p w:rsidR="007355E3" w:rsidRDefault="007355E3">
      <w:pPr>
        <w:spacing w:after="0" w:line="240" w:lineRule="auto"/>
        <w:rPr>
          <w:rFonts w:ascii="Arial" w:eastAsia="Arial" w:hAnsi="Arial" w:cs="Arial"/>
          <w:color w:val="000000"/>
          <w:kern w:val="24"/>
          <w:sz w:val="16"/>
          <w:szCs w:val="16"/>
        </w:rPr>
      </w:pPr>
      <w:r>
        <w:rPr>
          <w:rFonts w:ascii="Arial" w:eastAsia="Arial" w:hAnsi="Arial" w:cs="Arial"/>
          <w:color w:val="000000"/>
          <w:kern w:val="24"/>
          <w:sz w:val="16"/>
          <w:szCs w:val="16"/>
        </w:rPr>
        <w:br w:type="page"/>
      </w:r>
    </w:p>
    <w:p w:rsidR="007355E3" w:rsidRP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  <w:r>
        <w:rPr>
          <w:noProof/>
        </w:rPr>
        <w:drawing>
          <wp:inline distT="0" distB="0" distL="0" distR="0" wp14:anchorId="65D14FBF" wp14:editId="29ED4E9F">
            <wp:extent cx="5943600" cy="492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H-Wordmark-Logotype (00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Pr="007355E3" w:rsidRDefault="007355E3" w:rsidP="007355E3">
      <w:pPr>
        <w:spacing w:after="0" w:line="240" w:lineRule="auto"/>
        <w:jc w:val="center"/>
        <w:rPr>
          <w:rFonts w:ascii="Arial" w:eastAsia="Arial" w:hAnsi="Arial" w:cs="Arial"/>
          <w:b/>
          <w:bCs/>
          <w:kern w:val="24"/>
          <w:sz w:val="40"/>
          <w:szCs w:val="40"/>
        </w:rPr>
      </w:pPr>
      <w:proofErr w:type="gramStart"/>
      <w:r w:rsidRPr="007355E3">
        <w:rPr>
          <w:rFonts w:ascii="Arial" w:eastAsia="Arial" w:hAnsi="Arial" w:cs="Arial"/>
          <w:b/>
          <w:bCs/>
          <w:kern w:val="24"/>
          <w:sz w:val="40"/>
          <w:szCs w:val="40"/>
        </w:rPr>
        <w:t>Plan Ahead</w:t>
      </w:r>
      <w:proofErr w:type="gramEnd"/>
      <w:r w:rsidRPr="007355E3">
        <w:rPr>
          <w:rFonts w:ascii="Arial" w:eastAsia="Arial" w:hAnsi="Arial" w:cs="Arial"/>
          <w:b/>
          <w:bCs/>
          <w:kern w:val="24"/>
          <w:sz w:val="40"/>
          <w:szCs w:val="40"/>
        </w:rPr>
        <w:t xml:space="preserve"> for Disaster </w:t>
      </w:r>
    </w:p>
    <w:p w:rsidR="007355E3" w:rsidRDefault="007355E3" w:rsidP="007355E3">
      <w:pPr>
        <w:spacing w:after="0" w:line="240" w:lineRule="auto"/>
        <w:jc w:val="center"/>
        <w:rPr>
          <w:rFonts w:ascii="Arial" w:eastAsia="Arial" w:hAnsi="Arial" w:cs="Arial"/>
          <w:b/>
          <w:bCs/>
          <w:kern w:val="24"/>
          <w:sz w:val="40"/>
          <w:szCs w:val="40"/>
        </w:rPr>
      </w:pPr>
      <w:r w:rsidRPr="007355E3">
        <w:rPr>
          <w:rFonts w:ascii="Arial" w:eastAsia="Arial" w:hAnsi="Arial" w:cs="Arial"/>
          <w:b/>
          <w:bCs/>
          <w:kern w:val="24"/>
          <w:sz w:val="40"/>
          <w:szCs w:val="40"/>
        </w:rPr>
        <w:t>Response and Recovery</w:t>
      </w:r>
    </w:p>
    <w:p w:rsid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Congregations have an important role to play in supporting the resilience and recovery of their neighborhoods when disaster strikes. But it’s important to </w:t>
      </w:r>
      <w:proofErr w:type="gramStart"/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>plan ahead</w:t>
      </w:r>
      <w:proofErr w:type="gramEnd"/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>. Here are some things you can put in place now: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Offer your facilities.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Facilities of all sizes and make-ups can be used in many ways during disasters, as assistance centers, dorms for volunteers, shelters and warehouses. 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Short-term recovery services.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Home clean-up, child-care, and food services are just a few of the ways you can assist. Following a disaster, many relief agencies are looking for congregations to organize teams of volunteers and respond to clean-up and recovery needs as they emerge. 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Encourage volunteering.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Volunteers should affiliate with an organization before a disaster. Look into agencies such as your denomination’s or faith community’s recovery agencies and their local operations, as well as local programs of the Salvation Army and the American Red Cross. 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Disaster Chaplaincy.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Get trained ahead of time and be sure to work in coordination with local disaster response organizations. 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Support Unmet Needs Round Tables.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 xml:space="preserve">Local Unmet Needs Committees or Roundtables bring together donors and casework agencies to financially assist those impacted by a disaster, provide emergency assistance, and ensure victims’ long-term recovery when all other means of assistance are no longer available. Congregations should fundraise early on to help support the ongoing unmet needs of disaster victims. </w:t>
      </w:r>
    </w:p>
    <w:p w:rsidR="007355E3" w:rsidRPr="007355E3" w:rsidRDefault="007355E3" w:rsidP="007355E3">
      <w:pPr>
        <w:spacing w:before="220" w:after="0" w:line="260" w:lineRule="exact"/>
        <w:rPr>
          <w:rFonts w:ascii="Times New Roman" w:eastAsia="Times New Roman" w:hAnsi="Times New Roman"/>
          <w:sz w:val="32"/>
          <w:szCs w:val="24"/>
        </w:rPr>
      </w:pPr>
      <w:r w:rsidRPr="007355E3">
        <w:rPr>
          <w:rFonts w:ascii="Arial" w:eastAsia="Arial" w:hAnsi="Arial" w:cs="Arial"/>
          <w:b/>
          <w:bCs/>
          <w:color w:val="404040" w:themeColor="text1" w:themeTint="BF"/>
          <w:kern w:val="24"/>
          <w:sz w:val="32"/>
          <w:szCs w:val="24"/>
        </w:rPr>
        <w:t xml:space="preserve">Help local causes. </w:t>
      </w:r>
      <w:r w:rsidRPr="007355E3">
        <w:rPr>
          <w:rFonts w:ascii="Arial" w:eastAsia="Arial" w:hAnsi="Arial" w:cs="Arial"/>
          <w:color w:val="000000" w:themeColor="text1"/>
          <w:kern w:val="24"/>
          <w:sz w:val="24"/>
          <w:szCs w:val="21"/>
        </w:rPr>
        <w:t>Social service organizations are often neglected during disasters. Support existing social service programs and provide opportunities for others to support your programs.</w:t>
      </w:r>
    </w:p>
    <w:p w:rsidR="007355E3" w:rsidRPr="007355E3" w:rsidRDefault="007355E3" w:rsidP="00B33124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22"/>
          <w:szCs w:val="16"/>
        </w:rPr>
      </w:pPr>
    </w:p>
    <w:p w:rsidR="007355E3" w:rsidRDefault="007355E3" w:rsidP="007355E3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/>
          <w:kern w:val="24"/>
          <w:sz w:val="16"/>
          <w:szCs w:val="16"/>
        </w:rPr>
      </w:pPr>
      <w:r>
        <w:rPr>
          <w:rFonts w:ascii="Arial" w:eastAsia="Arial" w:hAnsi="Arial" w:cs="Arial"/>
          <w:color w:val="000000"/>
          <w:kern w:val="24"/>
          <w:sz w:val="16"/>
          <w:szCs w:val="16"/>
        </w:rPr>
        <w:t>9/2019</w:t>
      </w:r>
    </w:p>
    <w:sectPr w:rsidR="007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5532"/>
    <w:multiLevelType w:val="hybridMultilevel"/>
    <w:tmpl w:val="5A54D99C"/>
    <w:lvl w:ilvl="0" w:tplc="D7DC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4E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E0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E2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A2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A3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6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2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4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C3730"/>
    <w:multiLevelType w:val="hybridMultilevel"/>
    <w:tmpl w:val="C5F4BC50"/>
    <w:lvl w:ilvl="0" w:tplc="1506F404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5BD3"/>
    <w:multiLevelType w:val="hybridMultilevel"/>
    <w:tmpl w:val="E66C7FD6"/>
    <w:lvl w:ilvl="0" w:tplc="A7EC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41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63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4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CC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E1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3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5C7B52"/>
    <w:multiLevelType w:val="hybridMultilevel"/>
    <w:tmpl w:val="1CE2516C"/>
    <w:lvl w:ilvl="0" w:tplc="604E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1FDC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81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4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C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63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A8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6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A16984"/>
    <w:multiLevelType w:val="hybridMultilevel"/>
    <w:tmpl w:val="65D4E55E"/>
    <w:lvl w:ilvl="0" w:tplc="F1922C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C1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AA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2C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2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CE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87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6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1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F04FF"/>
    <w:multiLevelType w:val="hybridMultilevel"/>
    <w:tmpl w:val="B980F0F4"/>
    <w:lvl w:ilvl="0" w:tplc="5FF4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A5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0D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2B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A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4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A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CF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10561"/>
    <w:multiLevelType w:val="hybridMultilevel"/>
    <w:tmpl w:val="0E1E13D6"/>
    <w:lvl w:ilvl="0" w:tplc="758CE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07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4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C8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41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A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449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2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0"/>
    <w:rsid w:val="00211461"/>
    <w:rsid w:val="00256CF2"/>
    <w:rsid w:val="002B713E"/>
    <w:rsid w:val="002B73BD"/>
    <w:rsid w:val="003C5C5B"/>
    <w:rsid w:val="004154C5"/>
    <w:rsid w:val="004260F1"/>
    <w:rsid w:val="006F2488"/>
    <w:rsid w:val="00734EE5"/>
    <w:rsid w:val="007355E3"/>
    <w:rsid w:val="007B4EF0"/>
    <w:rsid w:val="00856434"/>
    <w:rsid w:val="00873A9A"/>
    <w:rsid w:val="008D7135"/>
    <w:rsid w:val="009A4A3F"/>
    <w:rsid w:val="00B11309"/>
    <w:rsid w:val="00B33124"/>
    <w:rsid w:val="00D6287B"/>
    <w:rsid w:val="00F73268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033A-F70A-4022-806B-AB430969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3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5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4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344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87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66">
          <w:marLeft w:val="36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PEACHEY</dc:creator>
  <cp:keywords/>
  <dc:description/>
  <cp:lastModifiedBy>Novak, Cynthia</cp:lastModifiedBy>
  <cp:revision>2</cp:revision>
  <dcterms:created xsi:type="dcterms:W3CDTF">2019-11-27T15:03:00Z</dcterms:created>
  <dcterms:modified xsi:type="dcterms:W3CDTF">2019-11-27T15:03:00Z</dcterms:modified>
</cp:coreProperties>
</file>